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Chainlets project overview</w:t>
      </w:r>
    </w:p>
    <w:p>
      <w:pPr>
        <w:widowControl/>
      </w:pPr>
      <w:r>
        <w:rPr>
          <w:color w:val="646C5A"/>
          <w:sz w:val="20"/>
        </w:rPr>
        <w:t>18 September 2026</w:t>
      </w:r>
    </w:p>
    <w:p>
      <w:pPr>
        <w:widowControl/>
      </w:pPr>
      <w:r>
        <w:t>Chainlets is a token launchpad for Robinhood Chain. It connects a single Chainlets / CHLT root to markets for child tokens. A child uses its parent token as the asset that prices and funds its market. This document explains the product, its token economics and the user and operator workflows.</w:t>
      </w:r>
    </w:p>
    <w:p>
      <w:pPr>
        <w:widowControl/>
      </w:pPr>
      <w:r>
        <w:t>CHLT anchors a hierarchy of parent-priced markets. Bonding curves collect real reserves, pools provide liquidity, and fixed token taxes fund the platform and the selected reward mode. Users control their wallets and review each onchain action before signing.</w:t>
      </w:r>
    </w:p>
    <w:p>
      <w:pPr>
        <w:pStyle w:val="Heading1"/>
      </w:pPr>
      <w:r>
        <w:t>Product and architecture</w:t>
      </w:r>
    </w:p>
    <w:p>
      <w:pPr>
        <w:widowControl/>
      </w:pPr>
      <w:r>
        <w:t>Robinhood Chain executes all token transactions and charges gas in ETH. A chainlet is an application-level token market, not a separate blockchain or a new gas-paying network. CHLT is the root; children can themselves become parents after graduating. The maximum child depth is eight, with CHLT at depth zero.</w:t>
      </w:r>
    </w:p>
    <w:p>
      <w:pPr>
        <w:widowControl/>
      </w:pPr>
      <w:r>
        <w:t>The Vercel website provides market browsing, token creation, trading, holder claims, Activity and Explorer. RainbowKit provides a chooser for installed browser wallet extensions, including wallets discovered through the standard extension discovery mechanism. The current configuration does not include a mobile QR connector. Wallet selection never signs a deployment or trade automatically.</w:t>
      </w:r>
    </w:p>
    <w:p>
      <w:pPr>
        <w:widowControl/>
      </w:pPr>
      <w:r>
        <w:t>Supabase stores images and token metadata, site settings, access sessions, explorer data and the shared Activity cache. A wallet-signed upload flow publishes metadata. Contracts refer to the resulting immutable metadata location. A creator must review names, symbols, content, supply, target and reward mode before launch. Metadata signing currently requires a supported externally owned wallet; smart-contract-wallet signatures are not implemented.</w:t>
      </w:r>
    </w:p>
    <w:p>
      <w:pPr>
        <w:widowControl/>
      </w:pPr>
      <w:r>
        <w:t>The contracts separate token balances and fixed taxes, market reserves and graduation, multi-pool routing, and holder reward accounting. Client checks verify the launchpad identity and its configured liquidity infrastructure. No public contract method permits reserve withdrawals, later minting, changing tax rates, pausing or upgrading the implementation.</w:t>
      </w:r>
    </w:p>
    <w:p>
      <w:pPr>
        <w:pStyle w:val="Heading1"/>
        <w:pageBreakBefore/>
      </w:pPr>
      <w:r>
        <w:t>Curve economics and funding</w:t>
      </w:r>
    </w:p>
    <w:p>
      <w:pPr>
        <w:widowControl/>
      </w:pPr>
      <w:r>
        <w:t>The CHLT interface preset uses one billion tokens and a real funding target of 4.2 ETH. The initial virtual quote reserve is 1.68 ETH, equal to two fifths of the target. A custom target is possible within the contract limits. Each child uses the same proportion, denominated in its own parent token.</w:t>
      </w:r>
    </w:p>
    <w:p>
      <w:pPr>
        <w:widowControl/>
      </w:pPr>
      <w:r>
        <w:t>All initial token supply enters curve custody. There is no creator premine and no later minting. The curve combines remaining token inventory with a virtual quote reserve plus actual received quote assets. Virtual liquidity determines prices; it is not withdrawable money and cannot fund migration. Purchases increase the real reserve. Sales return real quote assets and reduce that reserve.</w:t>
      </w:r>
    </w:p>
    <w:p>
      <w:pPr>
        <w:widowControl/>
      </w:pPr>
      <w:r>
        <w:t>Ignoring integer rounding, the root preset has an initial fully diluted valuation of 1.68 ETH and a valuation of 20.58 ETH when the real reserve reaches 4.2 ETH. Dollar values vary with ETH. The contracts do not guarantee fixed dollar valuations. Child valuations also depend on the price of the parent token. Token taxes reduce the buyer's net receipt; they do not create fictitious ETH backing.</w:t>
      </w:r>
    </w:p>
    <w:p>
      <w:pPr>
        <w:widowControl/>
      </w:pPr>
      <w:r>
        <w:t>At the exact target, any caller can submit a separate graduation transaction. The real reserve and a price-matched share of remaining token inventory seed the configured Uniswap pair. Root ETH is wrapped into WETH; a child's pair uses its parent token. LP tokens and excess inventory remain permanently locked in the launchpad. Before rounding, approximately 71.43% of initial inventory is allocated by the curve, 20.41% seeds the pool and 8.16% remains locked outside it. Child burns separately reduce circulating and total supply.</w:t>
      </w:r>
    </w:p>
    <w:p>
      <w:pPr>
        <w:widowControl/>
      </w:pPr>
      <w:r>
        <w:t>Curve sales remain possible until graduation and can move the reserve below its target. After graduation, curve trading closes and routing uses the pools. Migration needs real funds accumulated in the reserve, plus gas for the transaction; a funded deployment wallet alone does not supply this liquidity.</w:t>
      </w:r>
    </w:p>
    <w:p>
      <w:pPr>
        <w:pStyle w:val="Heading1"/>
        <w:pageBreakBefore/>
      </w:pPr>
      <w:r>
        <w:t>Mandatory taxes and rewards</w:t>
      </w:r>
    </w:p>
    <w:p>
      <w:pPr>
        <w:widowControl/>
      </w:pPr>
      <w:r>
        <w:t>Ordinary transfers, curve trades and pool trades carry token-level fees. For CHLT, the nominal total is 2%: 1% for the platform and 1% for the selected reward mode. Children carry a nominal 3%: the same two components plus a 1% burn. Each component rounds down independently in token base units.</w:t>
      </w:r>
    </w:p>
    <w:p>
      <w:pPr>
        <w:widowControl/>
      </w:pPr>
      <w:r>
        <w:t>The platform recipient is fixed at 0xae807F4c6606faA0E0a5ea87aF6D5220E5B3F7e5. Fees are collected in the token being transferred, not automatically converted to ETH. Child burns reduce totalSupply. Controlled reserve settlement, initial liquidity seeding, internal fee bookkeeping and reward payouts have narrow exemptions to prevent duplicate taxation; normal callers cannot opt out.</w:t>
      </w:r>
    </w:p>
    <w:p>
      <w:pPr>
        <w:widowControl/>
      </w:pPr>
      <w:r>
        <w:t>Creator mode sends the reward component directly to the selected immutable creator wallet. Holder mode places it in that token's rewards escrow. The choice and recipient cannot be changed after launch. Rewards are denominated in the same launched token.</w:t>
      </w:r>
    </w:p>
    <w:p>
      <w:pPr>
        <w:widowControl/>
      </w:pPr>
      <w:r>
        <w:t>Holder accounting uses 900-second UTC epochs and balances weighted by holding time. A holder with 100 tokens for half an epoch has the same weight as one holding 50 tokens throughout it. An epoch becomes claimable after it closes. Eligible historical claims do not expire; rounding dust stays in escrow. Protocol inventory, canonical pools and other controlled custody balances are excluded from holder weights.</w:t>
      </w:r>
    </w:p>
    <w:p>
      <w:pPr>
        <w:widowControl/>
      </w:pPr>
      <w:r>
        <w:t>Closing an epoch does not send money automatically. Holders can claim themselves, or an operator can pay gas for recipient-bound claims. Automatic delivery requires a configured keeper, deployed reward contracts and a gas-funded operator. An unregistered external pool can receive weight at its pool address; the system cannot infer each external liquidity provider's share.</w:t>
      </w:r>
    </w:p>
    <w:p>
      <w:pPr>
        <w:pStyle w:val="Heading1"/>
        <w:pageBreakBefore/>
      </w:pPr>
      <w:r>
        <w:t>Trading and exploration</w:t>
      </w:r>
    </w:p>
    <w:p>
      <w:pPr>
        <w:widowControl/>
      </w:pPr>
      <w:r>
        <w:t>A child curve always settles in its parent token. Users can supply that parent directly. ETH entry first routes through liquid ancestor pools to obtain parent tokens, then purchases the child. Selling reverses the route. Every hop can incur pool fees and applicable transfer taxes. Quotes, minimum outputs and deadlines protect execution; they cannot promise an unchanged market price.</w:t>
      </w:r>
    </w:p>
    <w:p>
      <w:pPr>
        <w:widowControl/>
      </w:pPr>
      <w:r>
        <w:t>The router also has a contract method for another compatible ERC-20 input when a valid route exists through the configured factory. The current interface offers ETH and direct parent settlement; it does not provide an arbitrary input-token picker. Approvals are action-specific, and the selected wallet reviews every onchain operation.</w:t>
      </w:r>
    </w:p>
    <w:p>
      <w:pPr>
        <w:widowControl/>
      </w:pPr>
      <w:r>
        <w:t>Activity follows the address stored as Tracked token contract. A shared Supabase cache limits provider refreshes to once every 15 seconds across visitors. WebSocket notifications tell connected visitors to retrieve the authenticated snapshot. Hidden pages disconnect, and timed checks cover reconnects. Refreshing happens while at least one visitor views Activity; this is not an unattended indexer.</w:t>
      </w:r>
    </w:p>
    <w:p>
      <w:pPr>
        <w:widowControl/>
      </w:pPr>
      <w:r>
        <w:t>The feed groups events emitted by the tracked contract into transactions, waits for 12 confirmations and keeps up to 100 observed transactions. The normal scan is 500 blocks, with a smaller 50-block fallback for slow or oversized responses. It excludes failed calls and calls without token events, and does not promise complete historical coverage. Blank tracking settings produce an empty configuration state, never demonstration transactions.</w:t>
      </w:r>
    </w:p>
    <w:p>
      <w:pPr>
        <w:widowControl/>
      </w:pPr>
      <w:r>
        <w:t>Explorer accepts an address at /explorer and supports direct /explorer/0x... links. Registered token pages expose market and parent-child details when the matching launchpad is connected. Entering an arbitrary contract in the control room does not register it as a launchpad token or create an ecosystem under it.</w:t>
      </w:r>
    </w:p>
    <w:p>
      <w:pPr>
        <w:pStyle w:val="Heading1"/>
        <w:pageBreakBefore/>
      </w:pPr>
      <w:r>
        <w:t>Operation and launch testing</w:t>
      </w:r>
    </w:p>
    <w:p>
      <w:pPr>
        <w:widowControl/>
      </w:pPr>
      <w:r>
        <w:t>The hidden control room manages the homepage contract address, the separate Activity tracking address and website visibility. Show publishes access; Hide requires the visitor password. Clicking a configured homepage CA copies it with visual feedback. These controls change presentation and access, not token economics or onchain ownership.</w:t>
      </w:r>
    </w:p>
    <w:p>
      <w:pPr>
        <w:widowControl/>
      </w:pPr>
      <w:r>
        <w:t>Before public trading, deploy the shared launchpad with the intended wallet, verify its code and infrastructure addresses, and publish its canonical configuration. The deploying wallet alone creates CHLT. Review the root's metadata, target, supply and reward mode before signing.</w:t>
      </w:r>
    </w:p>
    <w:p>
      <w:pPr>
        <w:widowControl/>
      </w:pPr>
      <w:r>
        <w:t>Use two controlled wallets to test connection, cancellation, account changes, network changes, metadata publication, token creation, buy and sell quotes, approvals, minimum-output failures and confirmed receipts. Check ordinary transfers against the platform and reward allocations, and confirm child burns reduce supply. Test creator mode and holder mode separately; wait for a completed epoch before testing claims.</w:t>
      </w:r>
    </w:p>
    <w:p>
      <w:pPr>
        <w:widowControl/>
      </w:pPr>
      <w:r>
        <w:t>Test graduation with a deliberately small target in a local environment before committing public funds to the production preset. Verify that the real reserve seeds the correct pair, LP and excess inventory remain locked, the graduated parent accepts child launches, and ETH routes settle children through that parent. A full 4.2 ETH root target requires real funding; gas for deploying contracts is a separate budget.</w:t>
      </w:r>
    </w:p>
    <w:p>
      <w:pPr>
        <w:widowControl/>
      </w:pPr>
      <w:r>
        <w:t>For operations, configure and fund a dedicated payout operator if automatic claims are required. Monitor provider errors, Supabase usage, failed uploads, stale snapshots and operator gas. Comprehensive historical charts and unattended indexing require an additional running indexer. Local tests and read-only network checks do not replace an independent contract review or public deployment verification.</w:t>
      </w:r>
    </w:p>
    <w:p>
      <w:pPr>
        <w:pStyle w:val="Heading1"/>
      </w:pPr>
      <w:r>
        <w:t>Implementation references</w:t>
      </w:r>
    </w:p>
    <w:p>
      <w:pPr>
        <w:widowControl/>
      </w:pPr>
      <w:r>
        <w:t>This document reflects contracts/ChainletsLaunchpad.sol, ChainletsLaunchToken.sol, ChainletsRouter.sol and ChainletsEpochRewards.sol; the launchpad and wallet clients; the Supabase control and metadata services; and docs/LAUNCHPAD-CONTRACTS.md, HOLDER-REWARDS.md and SITE-CONTROL.md as of the date above.</w:t>
      </w:r>
    </w:p>
    <w:p>
      <w:pPr>
        <w:widowControl/>
      </w:pPr>
      <w:r>
        <w:t>Network documentation: https://docs.robinhood.com/chain/connecting/</w:t>
        <w:br/>
        <w:t>Wallet integration: https://rainbowkit.com/docs/custom-wallet-list</w:t>
        <w:br/>
        <w:t>Live website: https://chainlets.vercel.app/</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6C5A"/>
        <w:sz w:val="18"/>
      </w:rPr>
      <w:t xml:space="preserve">CHAINLETS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304619"/>
      <w:sz w:val="38"/>
      <w:szCs w:val="28"/>
    </w:rPr>
  </w:style>
  <w:style w:type="paragraph" w:styleId="Heading2">
    <w:name w:val="heading 2"/>
    <w:basedOn w:val="Normal"/>
    <w:next w:val="Normal"/>
    <w:link w:val="Heading2Char"/>
    <w:uiPriority w:val="9"/>
    <w:unhideWhenUsed/>
    <w:qFormat/>
    <w:rsid w:val="00FC693F"/>
    <w:pPr>
      <w:keepNext/>
      <w:keepLines/>
      <w:spacing w:before="360" w:after="200"/>
      <w:outlineLvl w:val="1"/>
    </w:pPr>
    <w:rPr>
      <w:rFonts w:asciiTheme="majorHAnsi" w:eastAsiaTheme="majorEastAsia" w:hAnsiTheme="majorHAnsi" w:cstheme="majorBidi" w:ascii="Calibri" w:hAnsi="Calibri"/>
      <w:b/>
      <w:bCs/>
      <w:color w:val="30461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360"/>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Chainlets project overview</dc:title>
  <dc:subject>Token markets and platform operation</dc:subject>
  <dc:creator>Chainlets</dc:creator>
  <cp:keywords/>
  <dc:description>generated by python-docx</dc:description>
  <cp:lastModifiedBy/>
  <cp:revision>1</cp:revision>
  <dcterms:created xsi:type="dcterms:W3CDTF">2013-12-23T23:15:00Z</dcterms:created>
  <dcterms:modified xsi:type="dcterms:W3CDTF">2013-12-23T23:15:00Z</dcterms:modified>
  <cp:category/>
</cp:coreProperties>
</file>